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3B34" w14:textId="77777777" w:rsidR="00470A46" w:rsidRDefault="00470A46" w:rsidP="00470A46">
      <w:pPr>
        <w:spacing w:after="0" w:line="240" w:lineRule="auto"/>
        <w:jc w:val="center"/>
        <w:rPr>
          <w:rFonts w:ascii="Calibri" w:eastAsia="Times New Roman" w:hAnsi="Calibri" w:cs="Calibri"/>
          <w:b/>
          <w:bCs/>
          <w:color w:val="1F4E79"/>
          <w:kern w:val="0"/>
          <w:sz w:val="34"/>
          <w:szCs w:val="34"/>
          <w14:ligatures w14:val="none"/>
        </w:rPr>
      </w:pPr>
      <w:r>
        <w:rPr>
          <w:rFonts w:ascii="Calibri" w:eastAsia="Times New Roman" w:hAnsi="Calibri" w:cs="Calibri"/>
          <w:b/>
          <w:bCs/>
          <w:noProof/>
          <w:color w:val="1F4E79"/>
          <w:kern w:val="0"/>
          <w:sz w:val="34"/>
          <w:szCs w:val="34"/>
        </w:rPr>
        <w:drawing>
          <wp:inline distT="0" distB="0" distL="0" distR="0" wp14:anchorId="2E187577" wp14:editId="76E7BF4D">
            <wp:extent cx="2800350" cy="1866900"/>
            <wp:effectExtent l="0" t="0" r="0" b="0"/>
            <wp:docPr id="1573439671" name="Picture 1" descr="A close 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39671" name="Picture 1" descr="A close up of a business card&#10;&#10;AI-generated content may be incorrect."/>
                    <pic:cNvPicPr/>
                  </pic:nvPicPr>
                  <pic:blipFill>
                    <a:blip r:embed="rId4"/>
                    <a:stretch>
                      <a:fillRect/>
                    </a:stretch>
                  </pic:blipFill>
                  <pic:spPr>
                    <a:xfrm>
                      <a:off x="0" y="0"/>
                      <a:ext cx="2800350" cy="1866900"/>
                    </a:xfrm>
                    <a:prstGeom prst="rect">
                      <a:avLst/>
                    </a:prstGeom>
                  </pic:spPr>
                </pic:pic>
              </a:graphicData>
            </a:graphic>
          </wp:inline>
        </w:drawing>
      </w:r>
    </w:p>
    <w:p w14:paraId="59DAAA0A" w14:textId="33A2E2B0"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34"/>
          <w:szCs w:val="34"/>
          <w14:ligatures w14:val="none"/>
        </w:rPr>
        <w:t>BOARD OF TRUSTEES MEETING MINUTES</w:t>
      </w:r>
    </w:p>
    <w:p w14:paraId="34BA1DB8"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b/>
          <w:bCs/>
          <w:color w:val="595959"/>
          <w:kern w:val="0"/>
          <w:sz w:val="22"/>
          <w:szCs w:val="22"/>
          <w14:ligatures w14:val="none"/>
        </w:rPr>
        <w:t xml:space="preserve">Wednesday, July 15, </w:t>
      </w:r>
      <w:proofErr w:type="gramStart"/>
      <w:r w:rsidRPr="00470A46">
        <w:rPr>
          <w:rFonts w:ascii="Calibri" w:eastAsia="Times New Roman" w:hAnsi="Calibri" w:cs="Calibri"/>
          <w:b/>
          <w:bCs/>
          <w:color w:val="595959"/>
          <w:kern w:val="0"/>
          <w:sz w:val="22"/>
          <w:szCs w:val="22"/>
          <w14:ligatures w14:val="none"/>
        </w:rPr>
        <w:t>2026</w:t>
      </w:r>
      <w:proofErr w:type="gramEnd"/>
      <w:r w:rsidRPr="00470A46">
        <w:rPr>
          <w:rFonts w:ascii="Calibri" w:eastAsia="Times New Roman" w:hAnsi="Calibri" w:cs="Calibri"/>
          <w:b/>
          <w:bCs/>
          <w:color w:val="595959"/>
          <w:kern w:val="0"/>
          <w:sz w:val="22"/>
          <w:szCs w:val="22"/>
          <w14:ligatures w14:val="none"/>
        </w:rPr>
        <w:t xml:space="preserve"> | 6:00 PM</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649"/>
        <w:gridCol w:w="4705"/>
      </w:tblGrid>
      <w:tr w:rsidR="00470A46" w:rsidRPr="00470A46" w14:paraId="76F2B30B" w14:textId="77777777" w:rsidTr="00470A46">
        <w:tc>
          <w:tcPr>
            <w:tcW w:w="4896" w:type="dxa"/>
            <w:shd w:val="clear" w:color="auto" w:fill="E8EEF5"/>
            <w:tcMar>
              <w:top w:w="80" w:type="dxa"/>
              <w:left w:w="0" w:type="dxa"/>
              <w:bottom w:w="80" w:type="dxa"/>
              <w:right w:w="0" w:type="dxa"/>
            </w:tcMar>
            <w:vAlign w:val="center"/>
            <w:hideMark/>
          </w:tcPr>
          <w:p w14:paraId="6312FEBF"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0"/>
                <w:szCs w:val="20"/>
                <w14:ligatures w14:val="none"/>
              </w:rPr>
              <w:t>Location</w:t>
            </w:r>
          </w:p>
        </w:tc>
        <w:tc>
          <w:tcPr>
            <w:tcW w:w="4896" w:type="dxa"/>
            <w:tcMar>
              <w:top w:w="80" w:type="dxa"/>
              <w:left w:w="0" w:type="dxa"/>
              <w:bottom w:w="80" w:type="dxa"/>
              <w:right w:w="0" w:type="dxa"/>
            </w:tcMar>
            <w:vAlign w:val="center"/>
            <w:hideMark/>
          </w:tcPr>
          <w:p w14:paraId="6AC3DC98"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120 E. Main Street, Westville, Illinois</w:t>
            </w:r>
          </w:p>
        </w:tc>
      </w:tr>
      <w:tr w:rsidR="00470A46" w:rsidRPr="00470A46" w14:paraId="26A06B91" w14:textId="77777777" w:rsidTr="00470A46">
        <w:tc>
          <w:tcPr>
            <w:tcW w:w="4896" w:type="dxa"/>
            <w:shd w:val="clear" w:color="auto" w:fill="E8EEF5"/>
            <w:tcMar>
              <w:top w:w="80" w:type="dxa"/>
              <w:left w:w="0" w:type="dxa"/>
              <w:bottom w:w="80" w:type="dxa"/>
              <w:right w:w="0" w:type="dxa"/>
            </w:tcMar>
            <w:vAlign w:val="center"/>
            <w:hideMark/>
          </w:tcPr>
          <w:p w14:paraId="57CBA88D"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0"/>
                <w:szCs w:val="20"/>
                <w14:ligatures w14:val="none"/>
              </w:rPr>
              <w:t>Board Present</w:t>
            </w:r>
          </w:p>
        </w:tc>
        <w:tc>
          <w:tcPr>
            <w:tcW w:w="4896" w:type="dxa"/>
            <w:tcMar>
              <w:top w:w="80" w:type="dxa"/>
              <w:left w:w="0" w:type="dxa"/>
              <w:bottom w:w="80" w:type="dxa"/>
              <w:right w:w="0" w:type="dxa"/>
            </w:tcMar>
            <w:vAlign w:val="center"/>
            <w:hideMark/>
          </w:tcPr>
          <w:p w14:paraId="3B0E174B"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Royce Wolfe, President; Tom Moody, Vice President; Bruce Cappello, Trustee</w:t>
            </w:r>
          </w:p>
        </w:tc>
      </w:tr>
      <w:tr w:rsidR="00470A46" w:rsidRPr="00470A46" w14:paraId="61A3648A" w14:textId="77777777" w:rsidTr="00470A46">
        <w:tc>
          <w:tcPr>
            <w:tcW w:w="4896" w:type="dxa"/>
            <w:shd w:val="clear" w:color="auto" w:fill="E8EEF5"/>
            <w:tcMar>
              <w:top w:w="80" w:type="dxa"/>
              <w:left w:w="0" w:type="dxa"/>
              <w:bottom w:w="80" w:type="dxa"/>
              <w:right w:w="0" w:type="dxa"/>
            </w:tcMar>
            <w:vAlign w:val="center"/>
            <w:hideMark/>
          </w:tcPr>
          <w:p w14:paraId="734B72EA"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0"/>
                <w:szCs w:val="20"/>
                <w14:ligatures w14:val="none"/>
              </w:rPr>
              <w:t>District Staff</w:t>
            </w:r>
          </w:p>
        </w:tc>
        <w:tc>
          <w:tcPr>
            <w:tcW w:w="4896" w:type="dxa"/>
            <w:tcMar>
              <w:top w:w="80" w:type="dxa"/>
              <w:left w:w="0" w:type="dxa"/>
              <w:bottom w:w="80" w:type="dxa"/>
              <w:right w:w="0" w:type="dxa"/>
            </w:tcMar>
            <w:vAlign w:val="center"/>
            <w:hideMark/>
          </w:tcPr>
          <w:p w14:paraId="308461A9"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Deanna Simmonds, Office Manager/Treasurer; Frank Gabehart, Superintendent</w:t>
            </w:r>
          </w:p>
        </w:tc>
      </w:tr>
      <w:tr w:rsidR="00470A46" w:rsidRPr="00470A46" w14:paraId="4E295F5C" w14:textId="77777777" w:rsidTr="00470A46">
        <w:tc>
          <w:tcPr>
            <w:tcW w:w="4896" w:type="dxa"/>
            <w:shd w:val="clear" w:color="auto" w:fill="E8EEF5"/>
            <w:tcMar>
              <w:top w:w="80" w:type="dxa"/>
              <w:left w:w="0" w:type="dxa"/>
              <w:bottom w:w="80" w:type="dxa"/>
              <w:right w:w="0" w:type="dxa"/>
            </w:tcMar>
            <w:vAlign w:val="center"/>
            <w:hideMark/>
          </w:tcPr>
          <w:p w14:paraId="5454DB4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0"/>
                <w:szCs w:val="20"/>
                <w14:ligatures w14:val="none"/>
              </w:rPr>
              <w:t>Others Present</w:t>
            </w:r>
          </w:p>
        </w:tc>
        <w:tc>
          <w:tcPr>
            <w:tcW w:w="4896" w:type="dxa"/>
            <w:tcMar>
              <w:top w:w="80" w:type="dxa"/>
              <w:left w:w="0" w:type="dxa"/>
              <w:bottom w:w="80" w:type="dxa"/>
              <w:right w:w="0" w:type="dxa"/>
            </w:tcMar>
            <w:vAlign w:val="center"/>
            <w:hideMark/>
          </w:tcPr>
          <w:p w14:paraId="566DD24B"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Eric Eves, District Attorney. Sean McBride, ERH, was absent.</w:t>
            </w:r>
          </w:p>
        </w:tc>
      </w:tr>
    </w:tbl>
    <w:p w14:paraId="243C3DA4"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t>1. Call to Order and Routine Business</w:t>
      </w:r>
    </w:p>
    <w:p w14:paraId="361581AA"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President Royce Wolfe called the meeting to order. Roll call was taken, and all three trustees were present. No members of the public requested to speak.</w:t>
      </w:r>
    </w:p>
    <w:p w14:paraId="721C1C5D"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Board noted that District Attorney Eric Eves’s last name was misspelled as “Eaves” on the July agenda due to a spell-check error. The correct spelling is “Eves.”</w:t>
      </w:r>
    </w:p>
    <w:p w14:paraId="3B79122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Approval of Minutes: Royce Wolfe moved to approve the minutes of the June 18, </w:t>
      </w:r>
      <w:proofErr w:type="gramStart"/>
      <w:r w:rsidRPr="00470A46">
        <w:rPr>
          <w:rFonts w:ascii="Calibri" w:eastAsia="Times New Roman" w:hAnsi="Calibri" w:cs="Calibri"/>
          <w:kern w:val="0"/>
          <w:sz w:val="20"/>
          <w:szCs w:val="20"/>
          <w14:ligatures w14:val="none"/>
        </w:rPr>
        <w:t>2026</w:t>
      </w:r>
      <w:proofErr w:type="gramEnd"/>
      <w:r w:rsidRPr="00470A46">
        <w:rPr>
          <w:rFonts w:ascii="Calibri" w:eastAsia="Times New Roman" w:hAnsi="Calibri" w:cs="Calibri"/>
          <w:kern w:val="0"/>
          <w:sz w:val="20"/>
          <w:szCs w:val="20"/>
          <w14:ligatures w14:val="none"/>
        </w:rPr>
        <w:t xml:space="preserve"> meeting. Bruce Cappello seconded the motion. The yeas carried, and the motion passed.</w:t>
      </w:r>
    </w:p>
    <w:p w14:paraId="2EBAFB86"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Approval of Agenda: Bruce Cappello moved to approve the July 15, </w:t>
      </w:r>
      <w:proofErr w:type="gramStart"/>
      <w:r w:rsidRPr="00470A46">
        <w:rPr>
          <w:rFonts w:ascii="Calibri" w:eastAsia="Times New Roman" w:hAnsi="Calibri" w:cs="Calibri"/>
          <w:kern w:val="0"/>
          <w:sz w:val="20"/>
          <w:szCs w:val="20"/>
          <w14:ligatures w14:val="none"/>
        </w:rPr>
        <w:t>2026</w:t>
      </w:r>
      <w:proofErr w:type="gramEnd"/>
      <w:r w:rsidRPr="00470A46">
        <w:rPr>
          <w:rFonts w:ascii="Calibri" w:eastAsia="Times New Roman" w:hAnsi="Calibri" w:cs="Calibri"/>
          <w:kern w:val="0"/>
          <w:sz w:val="20"/>
          <w:szCs w:val="20"/>
          <w14:ligatures w14:val="none"/>
        </w:rPr>
        <w:t xml:space="preserve"> agenda. Royce Wolfe seconded the motion. The yeas carried, and the motion passed.</w:t>
      </w:r>
    </w:p>
    <w:p w14:paraId="56501FD7"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Treasurer’s Report: Royce Wolfe moved to accept the Treasurer’s Report. Bruce Cappello seconded the motion. The yeas carried, and the motion passed.</w:t>
      </w:r>
    </w:p>
    <w:p w14:paraId="5AE264FA"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ERH Report: Royce Wolfe moved to accept the ERH Report. Bruce Cappello seconded the motion. The yeas carried, and the motion passed.</w:t>
      </w:r>
    </w:p>
    <w:p w14:paraId="3A48BDE9"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Superintendent’s Report: Royce Wolfe moved to accept the Superintendent’s Report. Bruce Cappello seconded the motion. The yeas carried, and the motion passed.</w:t>
      </w:r>
    </w:p>
    <w:p w14:paraId="13AA6D7D"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Office Manager’s Report: Bruce Cappello moved to accept the Office Manager’s Report. Royce Wolfe seconded the motion. The yeas carried, and the motion passed.</w:t>
      </w:r>
    </w:p>
    <w:p w14:paraId="0C36FFB9"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t>2. ERH Operations and Maintenance Contract</w:t>
      </w:r>
    </w:p>
    <w:p w14:paraId="34FD0F3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The Board reviewed the latest draft of the proposed ERH operations and maintenance contract. Attorney Eric Eves explained that the draft removes superintendent management services, revises provisions that previously assumed ERH would provide those </w:t>
      </w:r>
      <w:proofErr w:type="gramStart"/>
      <w:r w:rsidRPr="00470A46">
        <w:rPr>
          <w:rFonts w:ascii="Calibri" w:eastAsia="Times New Roman" w:hAnsi="Calibri" w:cs="Calibri"/>
          <w:kern w:val="0"/>
          <w:sz w:val="20"/>
          <w:szCs w:val="20"/>
          <w14:ligatures w14:val="none"/>
        </w:rPr>
        <w:t>services, and</w:t>
      </w:r>
      <w:proofErr w:type="gramEnd"/>
      <w:r w:rsidRPr="00470A46">
        <w:rPr>
          <w:rFonts w:ascii="Calibri" w:eastAsia="Times New Roman" w:hAnsi="Calibri" w:cs="Calibri"/>
          <w:kern w:val="0"/>
          <w:sz w:val="20"/>
          <w:szCs w:val="20"/>
          <w14:ligatures w14:val="none"/>
        </w:rPr>
        <w:t xml:space="preserve"> adds or clarifies operational requirements.</w:t>
      </w:r>
    </w:p>
    <w:p w14:paraId="6B3E3F05"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draft also addresses JULIE locate responsibilities when the Superintendent is unavailable and provides that ERH will be responsible for costs or penalties resulting from failures within ERH’s assigned responsibilities. The agreement requires physical presence at the wastewater treatment plant for eight hours per day.</w:t>
      </w:r>
    </w:p>
    <w:p w14:paraId="4E0494EF"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final compensation amount remained outstanding. Updated pricing will be inserted after ERH submits its proposal, and the revised contract will then be distributed to the Board for review and later action. No vote was taken on the contract.</w:t>
      </w:r>
    </w:p>
    <w:p w14:paraId="20D260E1"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lastRenderedPageBreak/>
        <w:t>3. Review of Ordinances 82-3 and 82-4</w:t>
      </w:r>
    </w:p>
    <w:p w14:paraId="41DB593A"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Attorney Eves reviewed Ordinances 82-3 and 82-4 in connection with recent unauthorized sewer use and theft-of-services concerns. The existing definition of “user” in Ordinance 82-4 is circular and may not clearly include occupants, tenants, or squatters who discharge wastewater into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system without being the property owner.</w:t>
      </w:r>
    </w:p>
    <w:p w14:paraId="16FAD679"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The Board discussed enforcement difficulties when water service has been restored without authorization or wastewater is discharged while no active sewer account is being paid. Under the current language,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remedies may primarily reach the property owner and may not adequately address the individual </w:t>
      </w:r>
      <w:proofErr w:type="gramStart"/>
      <w:r w:rsidRPr="00470A46">
        <w:rPr>
          <w:rFonts w:ascii="Calibri" w:eastAsia="Times New Roman" w:hAnsi="Calibri" w:cs="Calibri"/>
          <w:kern w:val="0"/>
          <w:sz w:val="20"/>
          <w:szCs w:val="20"/>
          <w14:ligatures w14:val="none"/>
        </w:rPr>
        <w:t>actually using</w:t>
      </w:r>
      <w:proofErr w:type="gramEnd"/>
      <w:r w:rsidRPr="00470A46">
        <w:rPr>
          <w:rFonts w:ascii="Calibri" w:eastAsia="Times New Roman" w:hAnsi="Calibri" w:cs="Calibri"/>
          <w:kern w:val="0"/>
          <w:sz w:val="20"/>
          <w:szCs w:val="20"/>
          <w14:ligatures w14:val="none"/>
        </w:rPr>
        <w:t xml:space="preserve"> the system.</w:t>
      </w:r>
    </w:p>
    <w:p w14:paraId="30028F9D"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Attorney Eves also reviewed Section 301 of Ordinance 82-4, which states that all users must measure and determine the strength and content of sewage and waste discharged. The Board agreed that this requirement is not practical for ordinary residential users and should be clarified.</w:t>
      </w:r>
    </w:p>
    <w:p w14:paraId="6D4C4197"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proposed amendments will focus on the definition of “user,” available remedies, and the requirements in Section 301. Attorney Eves will draft language for Board review. Ordinance 82-3 was considered more tightly written; its current update remains focused primarily on tracer-wire and boring-related requirements.</w:t>
      </w:r>
    </w:p>
    <w:p w14:paraId="217D299B"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t>4. USDA Rural Development Financing and Rate Increase</w:t>
      </w:r>
    </w:p>
    <w:p w14:paraId="59B1DA93"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Deanna Simmonds reported that the </w:t>
      </w:r>
      <w:proofErr w:type="gramStart"/>
      <w:r w:rsidRPr="00470A46">
        <w:rPr>
          <w:rFonts w:ascii="Calibri" w:eastAsia="Times New Roman" w:hAnsi="Calibri" w:cs="Calibri"/>
          <w:kern w:val="0"/>
          <w:sz w:val="20"/>
          <w:szCs w:val="20"/>
          <w14:ligatures w14:val="none"/>
        </w:rPr>
        <w:t>District</w:t>
      </w:r>
      <w:proofErr w:type="gramEnd"/>
      <w:r w:rsidRPr="00470A46">
        <w:rPr>
          <w:rFonts w:ascii="Calibri" w:eastAsia="Times New Roman" w:hAnsi="Calibri" w:cs="Calibri"/>
          <w:kern w:val="0"/>
          <w:sz w:val="20"/>
          <w:szCs w:val="20"/>
          <w14:ligatures w14:val="none"/>
        </w:rPr>
        <w:t xml:space="preserve"> was not selected for Illinois EPA funding for fiscal year 2026–2027 and is proceeding with a USDA Rural Development financing application for approximately $6 million in wastewater treatment plant and collection-system improvements.</w:t>
      </w:r>
    </w:p>
    <w:p w14:paraId="171B2D3F"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approved rate for fiscal year 2026–2027 is $13.60 per 1,000 gallons, with a $34.00 minimum bill, effective with the October 2026 billing. The existing $5.80 debt-service surcharge and $1.00 inflow and infiltration surcharge are included in the calculation.</w:t>
      </w:r>
    </w:p>
    <w:p w14:paraId="08A37653"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For fiscal year 2027–2028,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minimum monthly sewer bill will increase to $45.00 to satisfy USDA loan qualifications and demonstrate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ability to repay the proposed loan. Beginning with the fiscal year following 2027–2028, rates will increase automatically by 3% with each new fiscal year.</w:t>
      </w:r>
    </w:p>
    <w:p w14:paraId="01FEF69E"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USDA also requires the </w:t>
      </w:r>
      <w:proofErr w:type="gramStart"/>
      <w:r w:rsidRPr="00470A46">
        <w:rPr>
          <w:rFonts w:ascii="Calibri" w:eastAsia="Times New Roman" w:hAnsi="Calibri" w:cs="Calibri"/>
          <w:kern w:val="0"/>
          <w:sz w:val="20"/>
          <w:szCs w:val="20"/>
          <w14:ligatures w14:val="none"/>
        </w:rPr>
        <w:t>District</w:t>
      </w:r>
      <w:proofErr w:type="gramEnd"/>
      <w:r w:rsidRPr="00470A46">
        <w:rPr>
          <w:rFonts w:ascii="Calibri" w:eastAsia="Times New Roman" w:hAnsi="Calibri" w:cs="Calibri"/>
          <w:kern w:val="0"/>
          <w:sz w:val="20"/>
          <w:szCs w:val="20"/>
          <w14:ligatures w14:val="none"/>
        </w:rPr>
        <w:t xml:space="preserve"> to educate customers about the condition and age of its infrastructure and the importance of continued investment. Public education may include bill inserts, flyers, the </w:t>
      </w:r>
      <w:proofErr w:type="gramStart"/>
      <w:r w:rsidRPr="00470A46">
        <w:rPr>
          <w:rFonts w:ascii="Calibri" w:eastAsia="Times New Roman" w:hAnsi="Calibri" w:cs="Calibri"/>
          <w:kern w:val="0"/>
          <w:sz w:val="20"/>
          <w:szCs w:val="20"/>
          <w14:ligatures w14:val="none"/>
        </w:rPr>
        <w:t>District</w:t>
      </w:r>
      <w:proofErr w:type="gramEnd"/>
      <w:r w:rsidRPr="00470A46">
        <w:rPr>
          <w:rFonts w:ascii="Calibri" w:eastAsia="Times New Roman" w:hAnsi="Calibri" w:cs="Calibri"/>
          <w:kern w:val="0"/>
          <w:sz w:val="20"/>
          <w:szCs w:val="20"/>
          <w14:ligatures w14:val="none"/>
        </w:rPr>
        <w:t xml:space="preserve"> website, and social-media posts.</w:t>
      </w:r>
    </w:p>
    <w:p w14:paraId="2D47C22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The </w:t>
      </w:r>
      <w:proofErr w:type="gramStart"/>
      <w:r w:rsidRPr="00470A46">
        <w:rPr>
          <w:rFonts w:ascii="Calibri" w:eastAsia="Times New Roman" w:hAnsi="Calibri" w:cs="Calibri"/>
          <w:kern w:val="0"/>
          <w:sz w:val="20"/>
          <w:szCs w:val="20"/>
          <w14:ligatures w14:val="none"/>
        </w:rPr>
        <w:t>District</w:t>
      </w:r>
      <w:proofErr w:type="gramEnd"/>
      <w:r w:rsidRPr="00470A46">
        <w:rPr>
          <w:rFonts w:ascii="Calibri" w:eastAsia="Times New Roman" w:hAnsi="Calibri" w:cs="Calibri"/>
          <w:kern w:val="0"/>
          <w:sz w:val="20"/>
          <w:szCs w:val="20"/>
          <w14:ligatures w14:val="none"/>
        </w:rPr>
        <w:t xml:space="preserve"> must document inquiries to at least three banks and obtain each bank’s proposed interest rate and terms, together with an approval or rejection. Simmonds will continue obtaining the required bank documentation.</w:t>
      </w:r>
    </w:p>
    <w:p w14:paraId="34F0E35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Motion: Tom Moody moved to approve the rate plan described above to meet USDA requirements and address wastewater treatment plant and collection-system infrastructure needs. Royce Wolfe seconded the motion. The yeas carried, and the motion passed. Attorney Eves will work with Simmonds on the rate provisions and prepare the implementing ordinance for Board consideration.</w:t>
      </w:r>
    </w:p>
    <w:p w14:paraId="184F14F2"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t>5. Kal’s Roadhouse Lift Station</w:t>
      </w:r>
    </w:p>
    <w:p w14:paraId="2CE33732"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The Board discussed ownership and future responsibility for the lift station serving </w:t>
      </w:r>
      <w:proofErr w:type="gramStart"/>
      <w:r w:rsidRPr="00470A46">
        <w:rPr>
          <w:rFonts w:ascii="Calibri" w:eastAsia="Times New Roman" w:hAnsi="Calibri" w:cs="Calibri"/>
          <w:kern w:val="0"/>
          <w:sz w:val="20"/>
          <w:szCs w:val="20"/>
          <w14:ligatures w14:val="none"/>
        </w:rPr>
        <w:t>the Kal’s</w:t>
      </w:r>
      <w:proofErr w:type="gramEnd"/>
      <w:r w:rsidRPr="00470A46">
        <w:rPr>
          <w:rFonts w:ascii="Calibri" w:eastAsia="Times New Roman" w:hAnsi="Calibri" w:cs="Calibri"/>
          <w:kern w:val="0"/>
          <w:sz w:val="20"/>
          <w:szCs w:val="20"/>
          <w14:ligatures w14:val="none"/>
        </w:rPr>
        <w:t xml:space="preserve"> Roadhouse property. The property remains titled in both owners’ names while divorce-related property and utility responsibilities remain unresolved. Attorney Eves advised that the </w:t>
      </w:r>
      <w:proofErr w:type="gramStart"/>
      <w:r w:rsidRPr="00470A46">
        <w:rPr>
          <w:rFonts w:ascii="Calibri" w:eastAsia="Times New Roman" w:hAnsi="Calibri" w:cs="Calibri"/>
          <w:kern w:val="0"/>
          <w:sz w:val="20"/>
          <w:szCs w:val="20"/>
          <w14:ligatures w14:val="none"/>
        </w:rPr>
        <w:t>District</w:t>
      </w:r>
      <w:proofErr w:type="gramEnd"/>
      <w:r w:rsidRPr="00470A46">
        <w:rPr>
          <w:rFonts w:ascii="Calibri" w:eastAsia="Times New Roman" w:hAnsi="Calibri" w:cs="Calibri"/>
          <w:kern w:val="0"/>
          <w:sz w:val="20"/>
          <w:szCs w:val="20"/>
          <w14:ligatures w14:val="none"/>
        </w:rPr>
        <w:t xml:space="preserve"> is not bound by the parties’ private allocation of responsibility.</w:t>
      </w:r>
    </w:p>
    <w:p w14:paraId="23C9443F"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 Board’s goal is to treat the property consistently with other District customers and require the legal property owner or any successor owner to assume responsibility for the lift station, including future operation, maintenance, and related costs.</w:t>
      </w:r>
    </w:p>
    <w:p w14:paraId="7B4BD882"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The Board also discussed historical and technical issues, including changes to the former school sewer line, limited slope in a section of the line, access to the lift-station controls, and prior District expenditures. Attorney Eves will review prior correspondence and meeting records and prepare a letter to both owners explaining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position. The draft will be circulated for Board review.</w:t>
      </w:r>
    </w:p>
    <w:p w14:paraId="5A4892FB" w14:textId="77777777" w:rsidR="00470A46" w:rsidRDefault="00470A46" w:rsidP="00470A46">
      <w:pPr>
        <w:spacing w:after="0" w:line="240" w:lineRule="auto"/>
        <w:rPr>
          <w:rFonts w:ascii="Calibri" w:eastAsia="Times New Roman" w:hAnsi="Calibri" w:cs="Calibri"/>
          <w:b/>
          <w:bCs/>
          <w:color w:val="1F4E79"/>
          <w:kern w:val="0"/>
          <w:sz w:val="26"/>
          <w:szCs w:val="26"/>
          <w14:ligatures w14:val="none"/>
        </w:rPr>
      </w:pPr>
    </w:p>
    <w:p w14:paraId="61A8D421" w14:textId="77777777" w:rsidR="00470A46" w:rsidRDefault="00470A46" w:rsidP="00470A46">
      <w:pPr>
        <w:spacing w:after="0" w:line="240" w:lineRule="auto"/>
        <w:rPr>
          <w:rFonts w:ascii="Calibri" w:eastAsia="Times New Roman" w:hAnsi="Calibri" w:cs="Calibri"/>
          <w:b/>
          <w:bCs/>
          <w:color w:val="1F4E79"/>
          <w:kern w:val="0"/>
          <w:sz w:val="26"/>
          <w:szCs w:val="26"/>
          <w14:ligatures w14:val="none"/>
        </w:rPr>
      </w:pPr>
    </w:p>
    <w:p w14:paraId="1780B405" w14:textId="77777777" w:rsidR="00470A46" w:rsidRDefault="00470A46" w:rsidP="00470A46">
      <w:pPr>
        <w:spacing w:after="0" w:line="240" w:lineRule="auto"/>
        <w:rPr>
          <w:rFonts w:ascii="Calibri" w:eastAsia="Times New Roman" w:hAnsi="Calibri" w:cs="Calibri"/>
          <w:b/>
          <w:bCs/>
          <w:color w:val="1F4E79"/>
          <w:kern w:val="0"/>
          <w:sz w:val="26"/>
          <w:szCs w:val="26"/>
          <w14:ligatures w14:val="none"/>
        </w:rPr>
      </w:pPr>
    </w:p>
    <w:p w14:paraId="27BDF933" w14:textId="24DEEEED"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lastRenderedPageBreak/>
        <w:t>6. Additional USDA and Banking Documentation</w:t>
      </w:r>
    </w:p>
    <w:p w14:paraId="3E0DEAAD"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 xml:space="preserve">Simmonds reported that two banks had responded to the </w:t>
      </w:r>
      <w:proofErr w:type="gramStart"/>
      <w:r w:rsidRPr="00470A46">
        <w:rPr>
          <w:rFonts w:ascii="Calibri" w:eastAsia="Times New Roman" w:hAnsi="Calibri" w:cs="Calibri"/>
          <w:kern w:val="0"/>
          <w:sz w:val="20"/>
          <w:szCs w:val="20"/>
          <w14:ligatures w14:val="none"/>
        </w:rPr>
        <w:t>District’s</w:t>
      </w:r>
      <w:proofErr w:type="gramEnd"/>
      <w:r w:rsidRPr="00470A46">
        <w:rPr>
          <w:rFonts w:ascii="Calibri" w:eastAsia="Times New Roman" w:hAnsi="Calibri" w:cs="Calibri"/>
          <w:kern w:val="0"/>
          <w:sz w:val="20"/>
          <w:szCs w:val="20"/>
          <w14:ligatures w14:val="none"/>
        </w:rPr>
        <w:t xml:space="preserve"> financing inquiries, but the responses did not yet contain all information required by USDA. She will continue working with USDA Rural Development and the banks to obtain written rates, terms, and lending decisions. Attorney Eves offered to provide any additional legal documents needed for the application.</w:t>
      </w:r>
    </w:p>
    <w:p w14:paraId="36F0BDD3" w14:textId="1CBC287D"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b/>
          <w:bCs/>
          <w:color w:val="1F4E79"/>
          <w:kern w:val="0"/>
          <w:sz w:val="26"/>
          <w:szCs w:val="26"/>
          <w14:ligatures w14:val="none"/>
        </w:rPr>
        <w:t>7. Adjournment</w:t>
      </w:r>
      <w:r>
        <w:rPr>
          <w:rFonts w:ascii="Calibri" w:eastAsia="Times New Roman" w:hAnsi="Calibri" w:cs="Calibri"/>
          <w:b/>
          <w:bCs/>
          <w:color w:val="1F4E79"/>
          <w:kern w:val="0"/>
          <w:sz w:val="26"/>
          <w:szCs w:val="26"/>
          <w14:ligatures w14:val="none"/>
        </w:rPr>
        <w:t xml:space="preserve"> 7:00 pm</w:t>
      </w:r>
    </w:p>
    <w:p w14:paraId="4CAF0C5C" w14:textId="77777777" w:rsidR="00470A46" w:rsidRPr="00470A46" w:rsidRDefault="00470A46" w:rsidP="00470A46">
      <w:pPr>
        <w:spacing w:after="0" w:line="240" w:lineRule="auto"/>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There being no further business, a motion was made and seconded to adjourn. The motion carried unanimously.</w:t>
      </w:r>
    </w:p>
    <w:tbl>
      <w:tblPr>
        <w:tblW w:w="0"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4680"/>
        <w:gridCol w:w="4680"/>
      </w:tblGrid>
      <w:tr w:rsidR="00470A46" w:rsidRPr="00470A46" w14:paraId="088CF9F6" w14:textId="77777777" w:rsidTr="00470A46">
        <w:tc>
          <w:tcPr>
            <w:tcW w:w="4896" w:type="dxa"/>
            <w:tcBorders>
              <w:top w:val="nil"/>
              <w:left w:val="nil"/>
              <w:bottom w:val="nil"/>
              <w:right w:val="nil"/>
            </w:tcBorders>
            <w:tcMar>
              <w:top w:w="160" w:type="dxa"/>
              <w:left w:w="0" w:type="dxa"/>
              <w:bottom w:w="80" w:type="dxa"/>
              <w:right w:w="0" w:type="dxa"/>
            </w:tcMar>
            <w:hideMark/>
          </w:tcPr>
          <w:p w14:paraId="727A14EA"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________________________________</w:t>
            </w:r>
          </w:p>
        </w:tc>
        <w:tc>
          <w:tcPr>
            <w:tcW w:w="4896" w:type="dxa"/>
            <w:tcBorders>
              <w:top w:val="nil"/>
              <w:left w:val="nil"/>
              <w:bottom w:val="nil"/>
              <w:right w:val="nil"/>
            </w:tcBorders>
            <w:tcMar>
              <w:top w:w="160" w:type="dxa"/>
              <w:left w:w="0" w:type="dxa"/>
              <w:bottom w:w="80" w:type="dxa"/>
              <w:right w:w="0" w:type="dxa"/>
            </w:tcMar>
            <w:hideMark/>
          </w:tcPr>
          <w:p w14:paraId="508139A3"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kern w:val="0"/>
                <w:sz w:val="20"/>
                <w:szCs w:val="20"/>
                <w14:ligatures w14:val="none"/>
              </w:rPr>
              <w:t>________________________________</w:t>
            </w:r>
          </w:p>
        </w:tc>
      </w:tr>
      <w:tr w:rsidR="00470A46" w:rsidRPr="00470A46" w14:paraId="310A5233" w14:textId="77777777" w:rsidTr="00470A46">
        <w:tc>
          <w:tcPr>
            <w:tcW w:w="4896" w:type="dxa"/>
            <w:tcBorders>
              <w:top w:val="nil"/>
              <w:left w:val="nil"/>
              <w:bottom w:val="nil"/>
              <w:right w:val="nil"/>
            </w:tcBorders>
            <w:tcMar>
              <w:top w:w="160" w:type="dxa"/>
              <w:left w:w="0" w:type="dxa"/>
              <w:bottom w:w="80" w:type="dxa"/>
              <w:right w:w="0" w:type="dxa"/>
            </w:tcMar>
            <w:hideMark/>
          </w:tcPr>
          <w:p w14:paraId="235DFA62"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b/>
                <w:bCs/>
                <w:kern w:val="0"/>
                <w:sz w:val="20"/>
                <w:szCs w:val="20"/>
                <w14:ligatures w14:val="none"/>
              </w:rPr>
              <w:t>Royce Wolfe, President</w:t>
            </w:r>
          </w:p>
        </w:tc>
        <w:tc>
          <w:tcPr>
            <w:tcW w:w="4896" w:type="dxa"/>
            <w:tcBorders>
              <w:top w:val="nil"/>
              <w:left w:val="nil"/>
              <w:bottom w:val="nil"/>
              <w:right w:val="nil"/>
            </w:tcBorders>
            <w:tcMar>
              <w:top w:w="160" w:type="dxa"/>
              <w:left w:w="0" w:type="dxa"/>
              <w:bottom w:w="80" w:type="dxa"/>
              <w:right w:w="0" w:type="dxa"/>
            </w:tcMar>
            <w:hideMark/>
          </w:tcPr>
          <w:p w14:paraId="675B34ED"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b/>
                <w:bCs/>
                <w:kern w:val="0"/>
                <w:sz w:val="20"/>
                <w:szCs w:val="20"/>
                <w14:ligatures w14:val="none"/>
              </w:rPr>
              <w:t>Deanna Simmonds, Treasurer</w:t>
            </w:r>
          </w:p>
        </w:tc>
      </w:tr>
    </w:tbl>
    <w:p w14:paraId="740029CB" w14:textId="77777777" w:rsidR="00470A46" w:rsidRPr="00470A46" w:rsidRDefault="00470A46" w:rsidP="00470A46">
      <w:pPr>
        <w:spacing w:after="0" w:line="240" w:lineRule="auto"/>
        <w:jc w:val="center"/>
        <w:rPr>
          <w:rFonts w:ascii="Calibri" w:eastAsia="Times New Roman" w:hAnsi="Calibri" w:cs="Calibri"/>
          <w:kern w:val="0"/>
          <w:sz w:val="20"/>
          <w:szCs w:val="20"/>
          <w14:ligatures w14:val="none"/>
        </w:rPr>
      </w:pPr>
      <w:r w:rsidRPr="00470A46">
        <w:rPr>
          <w:rFonts w:ascii="Calibri" w:eastAsia="Times New Roman" w:hAnsi="Calibri" w:cs="Calibri"/>
          <w:color w:val="595959"/>
          <w:kern w:val="0"/>
          <w:sz w:val="17"/>
          <w:szCs w:val="17"/>
          <w14:ligatures w14:val="none"/>
        </w:rPr>
        <w:t>120 E. Main Street, Westville, Illinois 61883</w:t>
      </w:r>
    </w:p>
    <w:p w14:paraId="18423980" w14:textId="77777777" w:rsidR="0005078D" w:rsidRDefault="0005078D"/>
    <w:sectPr w:rsidR="00050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46"/>
    <w:rsid w:val="0005078D"/>
    <w:rsid w:val="00292E22"/>
    <w:rsid w:val="004610E9"/>
    <w:rsid w:val="00470A46"/>
    <w:rsid w:val="00502020"/>
    <w:rsid w:val="005E1EFC"/>
    <w:rsid w:val="0076586A"/>
    <w:rsid w:val="0079568F"/>
    <w:rsid w:val="00CB2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F260"/>
  <w15:chartTrackingRefBased/>
  <w15:docId w15:val="{DFEC63C7-004B-42E2-8A3B-147B35C7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A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A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A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A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A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A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A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A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A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A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A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A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A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A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A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A46"/>
    <w:rPr>
      <w:rFonts w:eastAsiaTheme="majorEastAsia" w:cstheme="majorBidi"/>
      <w:color w:val="272727" w:themeColor="text1" w:themeTint="D8"/>
    </w:rPr>
  </w:style>
  <w:style w:type="paragraph" w:styleId="Title">
    <w:name w:val="Title"/>
    <w:basedOn w:val="Normal"/>
    <w:next w:val="Normal"/>
    <w:link w:val="TitleChar"/>
    <w:uiPriority w:val="10"/>
    <w:qFormat/>
    <w:rsid w:val="00470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A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A46"/>
    <w:pPr>
      <w:spacing w:before="160"/>
      <w:jc w:val="center"/>
    </w:pPr>
    <w:rPr>
      <w:i/>
      <w:iCs/>
      <w:color w:val="404040" w:themeColor="text1" w:themeTint="BF"/>
    </w:rPr>
  </w:style>
  <w:style w:type="character" w:customStyle="1" w:styleId="QuoteChar">
    <w:name w:val="Quote Char"/>
    <w:basedOn w:val="DefaultParagraphFont"/>
    <w:link w:val="Quote"/>
    <w:uiPriority w:val="29"/>
    <w:rsid w:val="00470A46"/>
    <w:rPr>
      <w:i/>
      <w:iCs/>
      <w:color w:val="404040" w:themeColor="text1" w:themeTint="BF"/>
    </w:rPr>
  </w:style>
  <w:style w:type="paragraph" w:styleId="ListParagraph">
    <w:name w:val="List Paragraph"/>
    <w:basedOn w:val="Normal"/>
    <w:uiPriority w:val="34"/>
    <w:qFormat/>
    <w:rsid w:val="00470A46"/>
    <w:pPr>
      <w:ind w:left="720"/>
      <w:contextualSpacing/>
    </w:pPr>
  </w:style>
  <w:style w:type="character" w:styleId="IntenseEmphasis">
    <w:name w:val="Intense Emphasis"/>
    <w:basedOn w:val="DefaultParagraphFont"/>
    <w:uiPriority w:val="21"/>
    <w:qFormat/>
    <w:rsid w:val="00470A46"/>
    <w:rPr>
      <w:i/>
      <w:iCs/>
      <w:color w:val="0F4761" w:themeColor="accent1" w:themeShade="BF"/>
    </w:rPr>
  </w:style>
  <w:style w:type="paragraph" w:styleId="IntenseQuote">
    <w:name w:val="Intense Quote"/>
    <w:basedOn w:val="Normal"/>
    <w:next w:val="Normal"/>
    <w:link w:val="IntenseQuoteChar"/>
    <w:uiPriority w:val="30"/>
    <w:qFormat/>
    <w:rsid w:val="00470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A46"/>
    <w:rPr>
      <w:i/>
      <w:iCs/>
      <w:color w:val="0F4761" w:themeColor="accent1" w:themeShade="BF"/>
    </w:rPr>
  </w:style>
  <w:style w:type="character" w:styleId="IntenseReference">
    <w:name w:val="Intense Reference"/>
    <w:basedOn w:val="DefaultParagraphFont"/>
    <w:uiPriority w:val="32"/>
    <w:qFormat/>
    <w:rsid w:val="00470A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1104</Words>
  <Characters>6293</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Simmonds</dc:creator>
  <cp:keywords/>
  <dc:description/>
  <cp:lastModifiedBy>Deanna Simmonds</cp:lastModifiedBy>
  <cp:revision>1</cp:revision>
  <dcterms:created xsi:type="dcterms:W3CDTF">2026-07-24T19:54:00Z</dcterms:created>
  <dcterms:modified xsi:type="dcterms:W3CDTF">2026-07-24T19:58:00Z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d32b8251-b567-4ed6-9742-46588667c7bc</vt:lpwstr>
  </property>
</Properties>
</file>